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  <w:bookmarkStart w:id="0" w:name="_top"/>
      <w:bookmarkEnd w:id="0"/>
      <w:r w:rsidRPr="00486A85">
        <w:rPr>
          <w:noProof/>
          <w:lang w:eastAsia="it-IT"/>
        </w:rPr>
        <w:drawing>
          <wp:inline distT="0" distB="0" distL="0" distR="0" wp14:anchorId="7C1D4DE2" wp14:editId="0B41E372">
            <wp:extent cx="4495800" cy="1200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</w:p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</w:p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</w:p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</w:p>
    <w:p w:rsidR="0005500D" w:rsidRDefault="00237BD5" w:rsidP="00237BD5">
      <w:pPr>
        <w:jc w:val="center"/>
        <w:rPr>
          <w:rFonts w:ascii="Cambria" w:hAnsi="Cambria"/>
          <w:sz w:val="56"/>
          <w:szCs w:val="56"/>
        </w:rPr>
      </w:pPr>
      <w:r w:rsidRPr="00237BD5">
        <w:rPr>
          <w:rFonts w:ascii="Cambria" w:hAnsi="Cambria"/>
          <w:sz w:val="56"/>
          <w:szCs w:val="56"/>
        </w:rPr>
        <w:t>CONFERENZE ISTITUZIONALI</w:t>
      </w:r>
    </w:p>
    <w:p w:rsidR="005F29B0" w:rsidRPr="005F29B0" w:rsidRDefault="005F29B0" w:rsidP="00237BD5">
      <w:pPr>
        <w:jc w:val="center"/>
        <w:rPr>
          <w:rFonts w:ascii="Cambria" w:hAnsi="Cambria"/>
          <w:sz w:val="36"/>
          <w:szCs w:val="36"/>
        </w:rPr>
      </w:pPr>
      <w:proofErr w:type="gramStart"/>
      <w:r w:rsidRPr="005F29B0">
        <w:rPr>
          <w:rFonts w:ascii="Cambria" w:hAnsi="Cambria"/>
          <w:sz w:val="36"/>
          <w:szCs w:val="36"/>
        </w:rPr>
        <w:t>del</w:t>
      </w:r>
      <w:proofErr w:type="gramEnd"/>
    </w:p>
    <w:p w:rsidR="005F29B0" w:rsidRPr="00237BD5" w:rsidRDefault="002F17DB" w:rsidP="00237BD5">
      <w:pPr>
        <w:jc w:val="center"/>
        <w:rPr>
          <w:rFonts w:ascii="Cambria" w:hAnsi="Cambria"/>
          <w:sz w:val="56"/>
          <w:szCs w:val="56"/>
        </w:rPr>
      </w:pPr>
      <w:r>
        <w:rPr>
          <w:rFonts w:ascii="Cambria" w:hAnsi="Cambria"/>
          <w:sz w:val="56"/>
          <w:szCs w:val="56"/>
        </w:rPr>
        <w:t>18 maggio</w:t>
      </w:r>
      <w:r w:rsidR="005F29B0">
        <w:rPr>
          <w:rFonts w:ascii="Cambria" w:hAnsi="Cambria"/>
          <w:sz w:val="56"/>
          <w:szCs w:val="56"/>
        </w:rPr>
        <w:t xml:space="preserve"> 2023</w:t>
      </w:r>
    </w:p>
    <w:p w:rsidR="00237BD5" w:rsidRDefault="00237BD5"/>
    <w:p w:rsidR="00237BD5" w:rsidRDefault="00237BD5"/>
    <w:p w:rsidR="005F29B0" w:rsidRDefault="005F29B0"/>
    <w:p w:rsidR="005F29B0" w:rsidRDefault="005F29B0"/>
    <w:p w:rsidR="005F29B0" w:rsidRDefault="005F29B0"/>
    <w:p w:rsidR="005F29B0" w:rsidRDefault="005F29B0"/>
    <w:p w:rsidR="005F29B0" w:rsidRDefault="005F29B0"/>
    <w:p w:rsidR="005F29B0" w:rsidRDefault="005F29B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37BD5" w:rsidTr="00237BD5">
        <w:tc>
          <w:tcPr>
            <w:tcW w:w="3209" w:type="dxa"/>
            <w:vAlign w:val="center"/>
          </w:tcPr>
          <w:p w:rsidR="00237BD5" w:rsidRPr="00237BD5" w:rsidRDefault="003D66A0" w:rsidP="00237BD5">
            <w:pPr>
              <w:jc w:val="center"/>
              <w:rPr>
                <w:rFonts w:ascii="Cambria" w:hAnsi="Cambria"/>
                <w:sz w:val="24"/>
                <w:szCs w:val="24"/>
              </w:rPr>
            </w:pPr>
            <w:hyperlink w:anchor="CR" w:history="1">
              <w:r w:rsidR="00237BD5" w:rsidRPr="005F29B0">
                <w:rPr>
                  <w:rStyle w:val="Collegamentoipertestuale"/>
                  <w:rFonts w:ascii="Cambria" w:hAnsi="Cambria"/>
                  <w:sz w:val="24"/>
                  <w:szCs w:val="24"/>
                </w:rPr>
                <w:t>Conferenza delle Regioni e delle Province autonome</w:t>
              </w:r>
            </w:hyperlink>
          </w:p>
        </w:tc>
        <w:tc>
          <w:tcPr>
            <w:tcW w:w="3209" w:type="dxa"/>
            <w:vAlign w:val="center"/>
          </w:tcPr>
          <w:p w:rsidR="00237BD5" w:rsidRPr="00237BD5" w:rsidRDefault="003D66A0" w:rsidP="00237BD5">
            <w:pPr>
              <w:jc w:val="center"/>
              <w:rPr>
                <w:rFonts w:ascii="Cambria" w:hAnsi="Cambria"/>
                <w:sz w:val="24"/>
                <w:szCs w:val="24"/>
              </w:rPr>
            </w:pPr>
            <w:hyperlink w:anchor="CSR" w:history="1">
              <w:r w:rsidR="00237BD5" w:rsidRPr="005F29B0">
                <w:rPr>
                  <w:rStyle w:val="Collegamentoipertestuale"/>
                  <w:rFonts w:ascii="Cambria" w:hAnsi="Cambria"/>
                  <w:sz w:val="24"/>
                  <w:szCs w:val="24"/>
                </w:rPr>
                <w:t>Conferenza Stato-Regioni</w:t>
              </w:r>
            </w:hyperlink>
          </w:p>
        </w:tc>
        <w:tc>
          <w:tcPr>
            <w:tcW w:w="3210" w:type="dxa"/>
            <w:vAlign w:val="center"/>
          </w:tcPr>
          <w:p w:rsidR="00237BD5" w:rsidRPr="00237BD5" w:rsidRDefault="00237BD5" w:rsidP="00237BD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37BD5" w:rsidRDefault="00237BD5"/>
    <w:p w:rsidR="00237BD5" w:rsidRDefault="00237BD5"/>
    <w:p w:rsidR="00237BD5" w:rsidRDefault="00237BD5"/>
    <w:p w:rsidR="005F29B0" w:rsidRDefault="005F29B0">
      <w:pPr>
        <w:rPr>
          <w:rFonts w:ascii="Cambria" w:hAnsi="Cambria"/>
          <w:b/>
          <w:color w:val="2E74B5" w:themeColor="accent1" w:themeShade="BF"/>
          <w:sz w:val="32"/>
          <w:szCs w:val="32"/>
        </w:rPr>
      </w:pPr>
      <w:bookmarkStart w:id="1" w:name="CR"/>
      <w:r>
        <w:rPr>
          <w:rFonts w:ascii="Cambria" w:hAnsi="Cambria"/>
          <w:b/>
          <w:color w:val="2E74B5" w:themeColor="accent1" w:themeShade="BF"/>
          <w:sz w:val="32"/>
          <w:szCs w:val="32"/>
        </w:rPr>
        <w:br w:type="page"/>
      </w:r>
    </w:p>
    <w:p w:rsidR="00237BD5" w:rsidRPr="005F29B0" w:rsidRDefault="00237BD5">
      <w:pPr>
        <w:rPr>
          <w:rFonts w:ascii="Cambria" w:hAnsi="Cambria"/>
          <w:b/>
          <w:color w:val="2E74B5" w:themeColor="accent1" w:themeShade="BF"/>
          <w:sz w:val="32"/>
          <w:szCs w:val="32"/>
        </w:rPr>
      </w:pPr>
      <w:r w:rsidRPr="005F29B0">
        <w:rPr>
          <w:rFonts w:ascii="Cambria" w:hAnsi="Cambria"/>
          <w:b/>
          <w:color w:val="2E74B5" w:themeColor="accent1" w:themeShade="BF"/>
          <w:sz w:val="32"/>
          <w:szCs w:val="32"/>
        </w:rPr>
        <w:lastRenderedPageBreak/>
        <w:t>Conferenza delle Regioni e delle Province autonome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803"/>
        <w:gridCol w:w="1555"/>
        <w:gridCol w:w="2429"/>
        <w:gridCol w:w="1267"/>
      </w:tblGrid>
      <w:tr w:rsidR="00237BD5" w:rsidTr="00B81587">
        <w:tc>
          <w:tcPr>
            <w:tcW w:w="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:rsidR="00237BD5" w:rsidRDefault="00237BD5">
            <w:pPr>
              <w:jc w:val="center"/>
            </w:pPr>
            <w:r>
              <w:t>n.</w:t>
            </w:r>
          </w:p>
        </w:tc>
        <w:tc>
          <w:tcPr>
            <w:tcW w:w="38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>
            <w:r>
              <w:t>Oggetto</w:t>
            </w:r>
          </w:p>
        </w:tc>
        <w:tc>
          <w:tcPr>
            <w:tcW w:w="15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>
            <w:pPr>
              <w:jc w:val="center"/>
            </w:pPr>
            <w:r>
              <w:t>Esito</w:t>
            </w:r>
          </w:p>
        </w:tc>
        <w:tc>
          <w:tcPr>
            <w:tcW w:w="242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>
            <w:r>
              <w:t>Note</w:t>
            </w:r>
          </w:p>
        </w:tc>
        <w:tc>
          <w:tcPr>
            <w:tcW w:w="1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>
            <w:pPr>
              <w:jc w:val="center"/>
            </w:pPr>
            <w:r>
              <w:t>Atto</w:t>
            </w:r>
          </w:p>
        </w:tc>
      </w:tr>
      <w:tr w:rsidR="00B81587" w:rsidTr="00B81587">
        <w:tc>
          <w:tcPr>
            <w:tcW w:w="55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87" w:rsidRDefault="00B81587" w:rsidP="00B81587">
            <w:pPr>
              <w:jc w:val="center"/>
            </w:pPr>
            <w:r>
              <w:t>1</w:t>
            </w:r>
          </w:p>
        </w:tc>
        <w:tc>
          <w:tcPr>
            <w:tcW w:w="38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87" w:rsidRDefault="00B81587" w:rsidP="00B81587">
            <w:r w:rsidRPr="0008160C">
              <w:rPr>
                <w:b/>
                <w:color w:val="FF0000"/>
              </w:rPr>
              <w:t>Comunicazioni</w:t>
            </w:r>
            <w:r w:rsidRPr="002E3844">
              <w:t xml:space="preserve"> del Presidente</w:t>
            </w:r>
            <w:r>
              <w:t>.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87" w:rsidRDefault="00B81587" w:rsidP="00B81587">
            <w:pPr>
              <w:jc w:val="center"/>
            </w:pPr>
            <w:r>
              <w:t>Rese comunicazioni</w:t>
            </w:r>
          </w:p>
        </w:tc>
        <w:tc>
          <w:tcPr>
            <w:tcW w:w="24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87" w:rsidRDefault="00B81587" w:rsidP="00B81587"/>
        </w:tc>
        <w:tc>
          <w:tcPr>
            <w:tcW w:w="126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87" w:rsidRDefault="00B81587" w:rsidP="00B81587">
            <w:pPr>
              <w:jc w:val="center"/>
              <w:rPr>
                <w:u w:val="single"/>
              </w:rPr>
            </w:pPr>
          </w:p>
        </w:tc>
      </w:tr>
      <w:tr w:rsidR="00B81587" w:rsidTr="00B81587">
        <w:tc>
          <w:tcPr>
            <w:tcW w:w="55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87" w:rsidRDefault="00B81587" w:rsidP="00B81587">
            <w:pPr>
              <w:jc w:val="center"/>
            </w:pPr>
            <w: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87" w:rsidRPr="0008160C" w:rsidRDefault="00B81587" w:rsidP="00B81587">
            <w:pPr>
              <w:rPr>
                <w:b/>
                <w:color w:val="FF0000"/>
              </w:rPr>
            </w:pPr>
            <w:r w:rsidRPr="002E3844">
              <w:t xml:space="preserve">Esame questioni all’o.d.g. della </w:t>
            </w:r>
            <w:r w:rsidRPr="0008160C">
              <w:rPr>
                <w:b/>
                <w:color w:val="FF0000"/>
              </w:rPr>
              <w:t>Conferenza Stato Regioni</w:t>
            </w:r>
            <w:r>
              <w:rPr>
                <w:b/>
                <w:color w:val="FF0000"/>
              </w:rPr>
              <w:t xml:space="preserve"> straordinaria.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87" w:rsidRDefault="00B81587" w:rsidP="00B81587">
            <w:pPr>
              <w:jc w:val="center"/>
            </w:pPr>
            <w:r w:rsidRPr="009A764C">
              <w:t xml:space="preserve">Vedi fascicolo </w:t>
            </w:r>
            <w:hyperlink w:anchor="CSR" w:history="1">
              <w:r w:rsidRPr="009A764C">
                <w:rPr>
                  <w:rStyle w:val="Collegamentoipertestuale"/>
                </w:rPr>
                <w:t>Conferenza Stato-Regioni</w:t>
              </w:r>
            </w:hyperlink>
          </w:p>
        </w:tc>
        <w:tc>
          <w:tcPr>
            <w:tcW w:w="24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87" w:rsidRDefault="00B81587" w:rsidP="00B81587"/>
        </w:tc>
        <w:tc>
          <w:tcPr>
            <w:tcW w:w="126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87" w:rsidRDefault="00B81587" w:rsidP="00B81587">
            <w:pPr>
              <w:jc w:val="center"/>
              <w:rPr>
                <w:u w:val="single"/>
              </w:rPr>
            </w:pPr>
          </w:p>
        </w:tc>
      </w:tr>
      <w:tr w:rsidR="00037EC0" w:rsidTr="00B81587">
        <w:tc>
          <w:tcPr>
            <w:tcW w:w="55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pPr>
              <w:jc w:val="center"/>
            </w:pPr>
            <w: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B81587" w:rsidP="00037EC0">
            <w:r w:rsidRPr="00C65AE9">
              <w:t xml:space="preserve">Valutazioni in merito alla proposta del Ministero dell’Istruzione e del Merito sui criteri di </w:t>
            </w:r>
            <w:r w:rsidRPr="00C65AE9">
              <w:rPr>
                <w:b/>
                <w:color w:val="FF0000"/>
              </w:rPr>
              <w:t>riparto delle risorse PNRR (700 milioni di euro) destinate al potenziamento dell’offerta formativa degli ITS</w:t>
            </w:r>
            <w:r>
              <w:t>.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E569C" w:rsidP="00037EC0">
            <w:pPr>
              <w:jc w:val="center"/>
            </w:pPr>
            <w:r>
              <w:t>Rinviato</w:t>
            </w:r>
          </w:p>
        </w:tc>
        <w:tc>
          <w:tcPr>
            <w:tcW w:w="24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/>
        </w:tc>
        <w:tc>
          <w:tcPr>
            <w:tcW w:w="126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Pr="00037EC0" w:rsidRDefault="00037EC0" w:rsidP="000E569C">
            <w:pPr>
              <w:jc w:val="center"/>
            </w:pPr>
          </w:p>
        </w:tc>
      </w:tr>
      <w:tr w:rsidR="00037EC0" w:rsidTr="00B81587">
        <w:tc>
          <w:tcPr>
            <w:tcW w:w="55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B81587" w:rsidP="00037EC0">
            <w:pPr>
              <w:jc w:val="center"/>
            </w:pPr>
            <w: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r w:rsidRPr="00764977">
              <w:rPr>
                <w:b/>
                <w:color w:val="FF0000"/>
              </w:rPr>
              <w:t>Varie</w:t>
            </w:r>
            <w:r>
              <w:t xml:space="preserve"> ed eventuali:</w:t>
            </w:r>
          </w:p>
          <w:p w:rsidR="00037EC0" w:rsidRDefault="00037EC0" w:rsidP="00037EC0"/>
        </w:tc>
        <w:tc>
          <w:tcPr>
            <w:tcW w:w="155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E569C" w:rsidP="00037EC0">
            <w:pPr>
              <w:jc w:val="center"/>
            </w:pPr>
            <w:r>
              <w:t>Nulla</w:t>
            </w:r>
          </w:p>
        </w:tc>
        <w:tc>
          <w:tcPr>
            <w:tcW w:w="24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/>
        </w:tc>
        <w:tc>
          <w:tcPr>
            <w:tcW w:w="126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Pr="00037EC0" w:rsidRDefault="00037EC0" w:rsidP="00037EC0">
            <w:pPr>
              <w:jc w:val="center"/>
              <w:rPr>
                <w:color w:val="2E75B6"/>
              </w:rPr>
            </w:pPr>
          </w:p>
        </w:tc>
      </w:tr>
    </w:tbl>
    <w:p w:rsidR="00237BD5" w:rsidRDefault="003D66A0">
      <w:hyperlink w:anchor="_top" w:history="1">
        <w:r w:rsidR="00307091" w:rsidRPr="00307091">
          <w:rPr>
            <w:rStyle w:val="Collegamentoipertestuale"/>
          </w:rPr>
          <w:t>Torna in alto</w:t>
        </w:r>
      </w:hyperlink>
    </w:p>
    <w:p w:rsidR="00237BD5" w:rsidRDefault="00237BD5"/>
    <w:p w:rsidR="00237BD5" w:rsidRDefault="00237BD5"/>
    <w:p w:rsidR="00237BD5" w:rsidRDefault="00237BD5"/>
    <w:p w:rsidR="00237BD5" w:rsidRDefault="00237BD5"/>
    <w:p w:rsidR="00237BD5" w:rsidRDefault="00237BD5"/>
    <w:p w:rsidR="005F29B0" w:rsidRDefault="005F29B0">
      <w:pPr>
        <w:rPr>
          <w:rFonts w:ascii="Cambria" w:hAnsi="Cambria"/>
          <w:b/>
          <w:color w:val="538135" w:themeColor="accent6" w:themeShade="BF"/>
          <w:sz w:val="32"/>
          <w:szCs w:val="32"/>
        </w:rPr>
      </w:pPr>
      <w:bookmarkStart w:id="2" w:name="CSR"/>
      <w:r>
        <w:rPr>
          <w:rFonts w:ascii="Cambria" w:hAnsi="Cambria"/>
          <w:b/>
          <w:color w:val="538135" w:themeColor="accent6" w:themeShade="BF"/>
          <w:sz w:val="32"/>
          <w:szCs w:val="32"/>
        </w:rPr>
        <w:br w:type="page"/>
      </w:r>
    </w:p>
    <w:p w:rsidR="00237BD5" w:rsidRPr="00237BD5" w:rsidRDefault="00237BD5">
      <w:pPr>
        <w:rPr>
          <w:rFonts w:ascii="Cambria" w:hAnsi="Cambria"/>
          <w:b/>
          <w:color w:val="538135" w:themeColor="accent6" w:themeShade="BF"/>
          <w:sz w:val="32"/>
          <w:szCs w:val="32"/>
        </w:rPr>
      </w:pPr>
      <w:r w:rsidRPr="00237BD5">
        <w:rPr>
          <w:rFonts w:ascii="Cambria" w:hAnsi="Cambria"/>
          <w:b/>
          <w:color w:val="538135" w:themeColor="accent6" w:themeShade="BF"/>
          <w:sz w:val="32"/>
          <w:szCs w:val="32"/>
        </w:rPr>
        <w:lastRenderedPageBreak/>
        <w:t>Conferenza Stato-Regioni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780"/>
        <w:gridCol w:w="1543"/>
        <w:gridCol w:w="2054"/>
        <w:gridCol w:w="1685"/>
      </w:tblGrid>
      <w:tr w:rsidR="00237BD5" w:rsidTr="0025034A"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2"/>
          <w:p w:rsidR="00237BD5" w:rsidRDefault="00237BD5" w:rsidP="002338D8">
            <w:pPr>
              <w:jc w:val="center"/>
            </w:pPr>
            <w:r>
              <w:t>n.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 w:rsidP="002338D8">
            <w:r>
              <w:t>Oggetto</w:t>
            </w:r>
          </w:p>
        </w:tc>
        <w:tc>
          <w:tcPr>
            <w:tcW w:w="154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 w:rsidP="002338D8">
            <w:pPr>
              <w:jc w:val="center"/>
            </w:pPr>
            <w:r>
              <w:t>Esito</w:t>
            </w:r>
          </w:p>
        </w:tc>
        <w:tc>
          <w:tcPr>
            <w:tcW w:w="205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 w:rsidP="002338D8">
            <w:r>
              <w:t>Note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 w:rsidP="002338D8">
            <w:pPr>
              <w:jc w:val="center"/>
            </w:pPr>
            <w:r>
              <w:t>Atto</w:t>
            </w:r>
          </w:p>
        </w:tc>
      </w:tr>
      <w:tr w:rsidR="00237BD5" w:rsidTr="004604D6">
        <w:tc>
          <w:tcPr>
            <w:tcW w:w="54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0A2018" w:rsidP="002338D8">
            <w:pPr>
              <w:jc w:val="center"/>
            </w:pPr>
            <w: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2F17DB" w:rsidP="002338D8">
            <w:r w:rsidRPr="00E45311">
              <w:rPr>
                <w:b/>
                <w:color w:val="FF0000"/>
              </w:rPr>
              <w:t>Informativa del Ministro per gli affari europei, il sud, le politiche di coesione e il PNRR in materia di politiche di coesione</w:t>
            </w:r>
            <w:r>
              <w:t xml:space="preserve"> di cui alla richiesta della Conferenza delle Regioni e delle Province autonome del 20 aprile 2023.</w:t>
            </w:r>
          </w:p>
        </w:tc>
        <w:tc>
          <w:tcPr>
            <w:tcW w:w="15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0E569C" w:rsidP="002338D8">
            <w:pPr>
              <w:jc w:val="center"/>
            </w:pPr>
            <w:r>
              <w:t>Resa informativa</w:t>
            </w:r>
          </w:p>
        </w:tc>
        <w:tc>
          <w:tcPr>
            <w:tcW w:w="20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6A0" w:rsidRDefault="003D66A0" w:rsidP="003D66A0">
            <w:pPr>
              <w:rPr>
                <w:color w:val="FF0000"/>
              </w:rPr>
            </w:pPr>
            <w:r>
              <w:rPr>
                <w:color w:val="FF0000"/>
              </w:rPr>
              <w:t>L’Assessore Caveri, intervenuto in riunione, ha espresso la posizione che di seg</w:t>
            </w:r>
            <w:bookmarkStart w:id="3" w:name="_GoBack"/>
            <w:bookmarkEnd w:id="3"/>
            <w:r>
              <w:rPr>
                <w:color w:val="FF0000"/>
              </w:rPr>
              <w:t xml:space="preserve">uito si sintetizza: </w:t>
            </w:r>
          </w:p>
          <w:p w:rsidR="003D66A0" w:rsidRPr="005F2ED0" w:rsidRDefault="003D66A0" w:rsidP="003D66A0">
            <w:pPr>
              <w:rPr>
                <w:i/>
                <w:color w:val="FF0000"/>
              </w:rPr>
            </w:pPr>
            <w:r w:rsidRPr="005F2ED0">
              <w:rPr>
                <w:i/>
                <w:color w:val="FF0000"/>
              </w:rPr>
              <w:t xml:space="preserve">Naturalmente la Valle d'Aosta è disponibile in qualunque momento ad incontrare i Ministri. </w:t>
            </w:r>
            <w:r>
              <w:rPr>
                <w:i/>
                <w:color w:val="FF0000"/>
              </w:rPr>
              <w:t>Occorre</w:t>
            </w:r>
            <w:r w:rsidRPr="005F2ED0">
              <w:rPr>
                <w:i/>
                <w:color w:val="FF0000"/>
              </w:rPr>
              <w:t xml:space="preserve"> dire, però, da vecchio autonomista</w:t>
            </w:r>
            <w:r>
              <w:rPr>
                <w:i/>
                <w:color w:val="FF0000"/>
              </w:rPr>
              <w:t>,</w:t>
            </w:r>
            <w:r w:rsidRPr="005F2ED0">
              <w:rPr>
                <w:i/>
                <w:color w:val="FF0000"/>
              </w:rPr>
              <w:t xml:space="preserve"> che nel documento che è stato sottoposto qualche stridio c’è</w:t>
            </w:r>
            <w:r>
              <w:rPr>
                <w:i/>
                <w:color w:val="FF0000"/>
              </w:rPr>
              <w:t>.</w:t>
            </w:r>
            <w:r w:rsidRPr="005F2ED0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S</w:t>
            </w:r>
            <w:r w:rsidRPr="005F2ED0">
              <w:rPr>
                <w:i/>
                <w:color w:val="FF0000"/>
              </w:rPr>
              <w:t>ull’FSC che deve essere sicuramente sbloccato c’è questa dizione “adeguata progettualità”</w:t>
            </w:r>
            <w:r>
              <w:rPr>
                <w:i/>
                <w:color w:val="FF0000"/>
              </w:rPr>
              <w:t>.</w:t>
            </w:r>
            <w:r w:rsidRPr="005F2ED0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C</w:t>
            </w:r>
            <w:r w:rsidRPr="005F2ED0">
              <w:rPr>
                <w:i/>
                <w:color w:val="FF0000"/>
              </w:rPr>
              <w:t>hi decide, alla fine, sulla adeguata progettualità? Non si capisce bene.</w:t>
            </w:r>
            <w:r>
              <w:rPr>
                <w:i/>
                <w:color w:val="FF0000"/>
              </w:rPr>
              <w:t xml:space="preserve"> </w:t>
            </w:r>
            <w:r w:rsidRPr="005F2ED0">
              <w:rPr>
                <w:i/>
                <w:color w:val="FF0000"/>
              </w:rPr>
              <w:t xml:space="preserve">Ma c’è un passaggio nell’ultima parte che vorrei leggere: “L’intesa programmatica definirà le modalità del comune impegno a collaborare per la realizzazione per ogni Regione di un Piano pluriennale di interventi di rilevanza strategica a valere su tutte le risorse europee e nazionali disponibili </w:t>
            </w:r>
            <w:r w:rsidRPr="005F2ED0">
              <w:rPr>
                <w:i/>
                <w:color w:val="FF0000"/>
              </w:rPr>
              <w:lastRenderedPageBreak/>
              <w:t>per la coesione”. Ora, è ovvio che nel periodo di programmazione già cominciato, noi abbiamo già chiuso le intese necessarie e oggi se si dovesse ripensare un piano dovremmo ripassare da Bruxelles con evidente perdita di tempo. Quindi forse va scritta in maniera un pochettino più attenta.</w:t>
            </w:r>
          </w:p>
          <w:p w:rsidR="00237BD5" w:rsidRDefault="003D66A0" w:rsidP="003D66A0">
            <w:r w:rsidRPr="005F2ED0">
              <w:rPr>
                <w:i/>
                <w:color w:val="FF0000"/>
              </w:rPr>
              <w:t>Sul PNRR ci sono delle criticità che già i colleghi di Trento e Bolzano hanno segnalato</w:t>
            </w:r>
            <w:r>
              <w:rPr>
                <w:i/>
                <w:color w:val="FF0000"/>
              </w:rPr>
              <w:t>:</w:t>
            </w:r>
            <w:r w:rsidRPr="005F2ED0">
              <w:rPr>
                <w:i/>
                <w:color w:val="FF0000"/>
              </w:rPr>
              <w:t xml:space="preserve"> questo scavalcare anche laddove, come da noi, c’è una competenza esclusiva sull’ordinamento degli enti locali</w:t>
            </w:r>
            <w:r>
              <w:rPr>
                <w:i/>
                <w:color w:val="FF0000"/>
              </w:rPr>
              <w:t>.</w:t>
            </w:r>
            <w:r w:rsidRPr="005F2ED0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I</w:t>
            </w:r>
            <w:r w:rsidRPr="005F2ED0">
              <w:rPr>
                <w:i/>
                <w:color w:val="FF0000"/>
              </w:rPr>
              <w:t xml:space="preserve"> ministeri dialogano con i Comuni</w:t>
            </w:r>
            <w:r>
              <w:rPr>
                <w:i/>
                <w:color w:val="FF0000"/>
              </w:rPr>
              <w:t>.</w:t>
            </w:r>
            <w:r w:rsidRPr="005F2ED0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N</w:t>
            </w:r>
            <w:r w:rsidRPr="005F2ED0">
              <w:rPr>
                <w:i/>
                <w:color w:val="FF0000"/>
              </w:rPr>
              <w:t>oi poi dobbiamo ricevere dai Comuni delle richieste, anche talvolta</w:t>
            </w:r>
            <w:r>
              <w:rPr>
                <w:i/>
                <w:color w:val="FF0000"/>
              </w:rPr>
              <w:t xml:space="preserve"> </w:t>
            </w:r>
            <w:r w:rsidRPr="005F2ED0">
              <w:rPr>
                <w:i/>
                <w:color w:val="FF0000"/>
              </w:rPr>
              <w:t xml:space="preserve">problematiche, come il mancato funzionamento di REGIS, per cui oggi immaginare di gestire dal centro è difficile, ma questo è solo un esempio e spero di poter incontrare presto il Ministro Fitto, che so aver parlato con il nostro Presidente per un piccolo </w:t>
            </w:r>
            <w:r w:rsidRPr="005F2ED0">
              <w:rPr>
                <w:i/>
                <w:color w:val="FF0000"/>
              </w:rPr>
              <w:lastRenderedPageBreak/>
              <w:t xml:space="preserve">cahier de </w:t>
            </w:r>
            <w:proofErr w:type="spellStart"/>
            <w:r w:rsidRPr="005F2ED0">
              <w:rPr>
                <w:i/>
                <w:color w:val="FF0000"/>
              </w:rPr>
              <w:t>doléance</w:t>
            </w:r>
            <w:proofErr w:type="spellEnd"/>
            <w:r w:rsidRPr="005F2ED0">
              <w:rPr>
                <w:i/>
                <w:color w:val="FF0000"/>
              </w:rPr>
              <w:t xml:space="preserve"> che mira semplicemente a migliorare le cose.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34A" w:rsidRPr="0025034A" w:rsidRDefault="0025034A" w:rsidP="003D66A0">
            <w:pPr>
              <w:jc w:val="center"/>
            </w:pPr>
          </w:p>
        </w:tc>
      </w:tr>
    </w:tbl>
    <w:bookmarkStart w:id="4" w:name="CU"/>
    <w:p w:rsidR="00237BD5" w:rsidRDefault="00307091">
      <w:r>
        <w:lastRenderedPageBreak/>
        <w:fldChar w:fldCharType="begin"/>
      </w:r>
      <w:r>
        <w:instrText xml:space="preserve"> HYPERLINK  \l "_top" </w:instrText>
      </w:r>
      <w:r>
        <w:fldChar w:fldCharType="separate"/>
      </w:r>
      <w:r w:rsidRPr="00307091">
        <w:rPr>
          <w:rStyle w:val="Collegamentoipertestuale"/>
        </w:rPr>
        <w:t>Torna in alto</w:t>
      </w:r>
      <w:r>
        <w:fldChar w:fldCharType="end"/>
      </w:r>
      <w:bookmarkEnd w:id="4"/>
    </w:p>
    <w:sectPr w:rsidR="00237B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D5"/>
    <w:rsid w:val="00037EC0"/>
    <w:rsid w:val="0005500D"/>
    <w:rsid w:val="000A2018"/>
    <w:rsid w:val="000E569C"/>
    <w:rsid w:val="0020795C"/>
    <w:rsid w:val="00237BD5"/>
    <w:rsid w:val="0025034A"/>
    <w:rsid w:val="00280496"/>
    <w:rsid w:val="002F17DB"/>
    <w:rsid w:val="00307091"/>
    <w:rsid w:val="003C146A"/>
    <w:rsid w:val="003D66A0"/>
    <w:rsid w:val="00401CD2"/>
    <w:rsid w:val="004169E8"/>
    <w:rsid w:val="004604D6"/>
    <w:rsid w:val="0054032C"/>
    <w:rsid w:val="005A6B6B"/>
    <w:rsid w:val="005F29B0"/>
    <w:rsid w:val="009A764C"/>
    <w:rsid w:val="009E3143"/>
    <w:rsid w:val="00B136FC"/>
    <w:rsid w:val="00B81587"/>
    <w:rsid w:val="00BB6ED6"/>
    <w:rsid w:val="00E64478"/>
    <w:rsid w:val="00ED6D7E"/>
    <w:rsid w:val="00F047AF"/>
    <w:rsid w:val="00F54DB0"/>
    <w:rsid w:val="00F63F18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1A5E-1036-4C99-AB69-AAA03707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7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F29B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709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37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436</Words>
  <Characters>2335</Characters>
  <Application>Microsoft Office Word</Application>
  <DocSecurity>0</DocSecurity>
  <Lines>39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HERIN</dc:creator>
  <cp:keywords/>
  <dc:description/>
  <cp:lastModifiedBy>Fabrizio HERIN</cp:lastModifiedBy>
  <cp:revision>18</cp:revision>
  <dcterms:created xsi:type="dcterms:W3CDTF">2023-02-07T13:54:00Z</dcterms:created>
  <dcterms:modified xsi:type="dcterms:W3CDTF">2023-05-19T10:07:00Z</dcterms:modified>
</cp:coreProperties>
</file>